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2D5B" w14:textId="58C5FD0E" w:rsidR="000240F0" w:rsidRPr="000B40FF" w:rsidRDefault="000B40FF">
      <w:pPr>
        <w:rPr>
          <w:rFonts w:cs="Arial"/>
          <w:b/>
          <w:bCs/>
          <w:szCs w:val="24"/>
        </w:rPr>
      </w:pPr>
      <w:r w:rsidRPr="000B40FF">
        <w:rPr>
          <w:rFonts w:cs="Arial"/>
          <w:b/>
          <w:bCs/>
          <w:szCs w:val="24"/>
        </w:rPr>
        <w:t xml:space="preserve">What is the </w:t>
      </w:r>
      <w:r w:rsidR="006B524B" w:rsidRPr="000B40FF">
        <w:rPr>
          <w:rFonts w:cs="Arial"/>
          <w:b/>
          <w:bCs/>
          <w:szCs w:val="24"/>
        </w:rPr>
        <w:t xml:space="preserve">Braille (?) Needs </w:t>
      </w:r>
      <w:r w:rsidR="00AC5ACC" w:rsidRPr="000B40FF">
        <w:rPr>
          <w:rFonts w:cs="Arial"/>
          <w:b/>
          <w:bCs/>
          <w:szCs w:val="24"/>
        </w:rPr>
        <w:t>Assessment?</w:t>
      </w:r>
    </w:p>
    <w:p w14:paraId="65A4074D" w14:textId="4B19D322" w:rsidR="00BF66ED" w:rsidRDefault="000240F0" w:rsidP="00BF66ED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Recommending to families and professionals that a student’s learning access needs would be well met by becoming a braille user can be challenging. </w:t>
      </w:r>
      <w:r w:rsidR="00BF66ED">
        <w:rPr>
          <w:rFonts w:ascii="Arial" w:hAnsi="Arial" w:cs="Arial"/>
          <w:sz w:val="24"/>
          <w:szCs w:val="24"/>
        </w:rPr>
        <w:t xml:space="preserve">The Braille (?) Needs Assessment will help guide you, the student, their </w:t>
      </w:r>
      <w:proofErr w:type="gramStart"/>
      <w:r w:rsidR="00BF66ED">
        <w:rPr>
          <w:rFonts w:ascii="Arial" w:hAnsi="Arial" w:cs="Arial"/>
          <w:sz w:val="24"/>
          <w:szCs w:val="24"/>
        </w:rPr>
        <w:t>family</w:t>
      </w:r>
      <w:proofErr w:type="gramEnd"/>
      <w:r w:rsidR="00BF66ED">
        <w:rPr>
          <w:rFonts w:ascii="Arial" w:hAnsi="Arial" w:cs="Arial"/>
          <w:sz w:val="24"/>
          <w:szCs w:val="24"/>
        </w:rPr>
        <w:t xml:space="preserve"> and the</w:t>
      </w:r>
      <w:r w:rsidR="00B84219">
        <w:rPr>
          <w:rFonts w:ascii="Arial" w:hAnsi="Arial" w:cs="Arial"/>
          <w:sz w:val="24"/>
          <w:szCs w:val="24"/>
        </w:rPr>
        <w:t>ir</w:t>
      </w:r>
      <w:r w:rsidR="00BF66ED">
        <w:rPr>
          <w:rFonts w:ascii="Arial" w:hAnsi="Arial" w:cs="Arial"/>
          <w:sz w:val="24"/>
          <w:szCs w:val="24"/>
        </w:rPr>
        <w:t xml:space="preserve"> supporting professionals when making this decision.</w:t>
      </w:r>
    </w:p>
    <w:p w14:paraId="43E3AE92" w14:textId="48A579ED" w:rsidR="000240F0" w:rsidRDefault="000240F0" w:rsidP="000240F0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Braille (?) Needs Assessment summarises information about the student, and the main challenges they face in accessing print for sustained reading. </w:t>
      </w:r>
      <w:r w:rsidR="00F23DE8">
        <w:rPr>
          <w:rFonts w:ascii="Arial" w:hAnsi="Arial" w:cs="Arial"/>
          <w:sz w:val="24"/>
          <w:szCs w:val="24"/>
        </w:rPr>
        <w:t>As seen in the figure below, t</w:t>
      </w:r>
      <w:r>
        <w:rPr>
          <w:rFonts w:ascii="Arial" w:hAnsi="Arial" w:cs="Arial"/>
          <w:sz w:val="24"/>
          <w:szCs w:val="24"/>
        </w:rPr>
        <w:t>he BNA allows you to consider the student wholistically including their diagnosis, their visual functioning</w:t>
      </w:r>
      <w:r w:rsidR="00BF66ED">
        <w:rPr>
          <w:rFonts w:ascii="Arial" w:hAnsi="Arial" w:cs="Arial"/>
          <w:sz w:val="24"/>
          <w:szCs w:val="24"/>
        </w:rPr>
        <w:t>, their current skills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their preferences. </w:t>
      </w:r>
    </w:p>
    <w:p w14:paraId="1D18B614" w14:textId="580DDA8E" w:rsidR="00F23DE8" w:rsidRDefault="00F23DE8" w:rsidP="000240F0">
      <w:pPr>
        <w:pStyle w:val="xmsonormal"/>
        <w:rPr>
          <w:rFonts w:ascii="Arial" w:hAnsi="Arial" w:cs="Arial"/>
          <w:sz w:val="24"/>
          <w:szCs w:val="24"/>
        </w:rPr>
      </w:pPr>
    </w:p>
    <w:p w14:paraId="268669C1" w14:textId="0D93E7BC" w:rsidR="00F23DE8" w:rsidRDefault="00F23DE8" w:rsidP="000240F0">
      <w:pPr>
        <w:pStyle w:val="xmsonormal"/>
      </w:pPr>
      <w:r>
        <w:rPr>
          <w:noProof/>
        </w:rPr>
        <w:drawing>
          <wp:inline distT="0" distB="0" distL="0" distR="0" wp14:anchorId="7E2DC9DF" wp14:editId="76CC7F60">
            <wp:extent cx="5486400" cy="3200400"/>
            <wp:effectExtent l="3810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0ACEDE2" w14:textId="77777777" w:rsidR="000240F0" w:rsidRDefault="000240F0" w:rsidP="000240F0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14:paraId="6BD13FAE" w14:textId="597DB6E8" w:rsidR="006B524B" w:rsidRPr="006B524B" w:rsidRDefault="006B524B" w:rsidP="000240F0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6B524B">
        <w:rPr>
          <w:rFonts w:ascii="Arial" w:hAnsi="Arial" w:cs="Arial"/>
          <w:b/>
          <w:bCs/>
          <w:sz w:val="24"/>
          <w:szCs w:val="24"/>
        </w:rPr>
        <w:t xml:space="preserve">How to </w:t>
      </w:r>
      <w:r>
        <w:rPr>
          <w:rFonts w:ascii="Arial" w:hAnsi="Arial" w:cs="Arial"/>
          <w:b/>
          <w:bCs/>
          <w:sz w:val="24"/>
          <w:szCs w:val="24"/>
        </w:rPr>
        <w:t>use</w:t>
      </w:r>
      <w:r w:rsidRPr="006B524B">
        <w:rPr>
          <w:rFonts w:ascii="Arial" w:hAnsi="Arial" w:cs="Arial"/>
          <w:b/>
          <w:bCs/>
          <w:sz w:val="24"/>
          <w:szCs w:val="24"/>
        </w:rPr>
        <w:t xml:space="preserve"> the Braille (?) Needs Assessment </w:t>
      </w:r>
    </w:p>
    <w:p w14:paraId="39F83C4B" w14:textId="65F7DDB8" w:rsidR="006B524B" w:rsidRDefault="006B524B" w:rsidP="000240F0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Braille (?) Needs Assessment is an interactive form which allows you to record information about your student</w:t>
      </w:r>
      <w:r w:rsidR="00B84219">
        <w:rPr>
          <w:rFonts w:ascii="Arial" w:hAnsi="Arial" w:cs="Arial"/>
          <w:sz w:val="24"/>
          <w:szCs w:val="24"/>
        </w:rPr>
        <w:t xml:space="preserve">. This information can be used </w:t>
      </w:r>
      <w:r>
        <w:rPr>
          <w:rFonts w:ascii="Arial" w:hAnsi="Arial" w:cs="Arial"/>
          <w:sz w:val="24"/>
          <w:szCs w:val="24"/>
        </w:rPr>
        <w:t xml:space="preserve">as a baseline and then </w:t>
      </w:r>
      <w:r w:rsidR="000B40FF">
        <w:rPr>
          <w:rFonts w:ascii="Arial" w:hAnsi="Arial" w:cs="Arial"/>
          <w:sz w:val="24"/>
          <w:szCs w:val="24"/>
        </w:rPr>
        <w:t xml:space="preserve">revisited </w:t>
      </w:r>
      <w:r>
        <w:rPr>
          <w:rFonts w:ascii="Arial" w:hAnsi="Arial" w:cs="Arial"/>
          <w:sz w:val="24"/>
          <w:szCs w:val="24"/>
        </w:rPr>
        <w:t>over time as the student's needs may change.</w:t>
      </w:r>
    </w:p>
    <w:p w14:paraId="7D523EE7" w14:textId="77777777" w:rsidR="000240F0" w:rsidRDefault="000240F0" w:rsidP="000240F0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14:paraId="68A3EA9B" w14:textId="2EB1CC5C" w:rsidR="006B524B" w:rsidRPr="000B40FF" w:rsidRDefault="000240F0" w:rsidP="000B40FF">
      <w:pPr>
        <w:rPr>
          <w:rFonts w:cs="Arial"/>
          <w:b/>
          <w:bCs/>
          <w:szCs w:val="24"/>
          <w:lang w:eastAsia="en-AU"/>
        </w:rPr>
      </w:pPr>
      <w:r>
        <w:rPr>
          <w:rFonts w:cs="Arial"/>
          <w:b/>
          <w:bCs/>
          <w:szCs w:val="24"/>
        </w:rPr>
        <w:t>Once the Braille (?) Needs Assessment is completed</w:t>
      </w:r>
      <w:r w:rsidR="006B524B" w:rsidRPr="006B524B">
        <w:rPr>
          <w:rFonts w:cs="Arial"/>
          <w:szCs w:val="24"/>
        </w:rPr>
        <w:t xml:space="preserve"> </w:t>
      </w:r>
    </w:p>
    <w:p w14:paraId="0713FA76" w14:textId="734FDBA8" w:rsidR="006B524B" w:rsidRDefault="006B524B" w:rsidP="006B524B">
      <w:pPr>
        <w:pStyle w:val="xmsonormal"/>
      </w:pPr>
      <w:r>
        <w:rPr>
          <w:rFonts w:ascii="Arial" w:hAnsi="Arial" w:cs="Arial"/>
          <w:sz w:val="24"/>
          <w:szCs w:val="24"/>
        </w:rPr>
        <w:t xml:space="preserve">Although the Braille (?) Needs Assessment does not give a score, the answers you chose and where these answers sit </w:t>
      </w:r>
      <w:r w:rsidR="00B84219">
        <w:rPr>
          <w:rFonts w:ascii="Arial" w:hAnsi="Arial" w:cs="Arial"/>
          <w:sz w:val="24"/>
          <w:szCs w:val="24"/>
        </w:rPr>
        <w:t>in relation to the colour in the arrow</w:t>
      </w:r>
      <w:r>
        <w:rPr>
          <w:rFonts w:ascii="Arial" w:hAnsi="Arial" w:cs="Arial"/>
          <w:sz w:val="24"/>
          <w:szCs w:val="24"/>
        </w:rPr>
        <w:t xml:space="preserve"> demonstrate how critical the student’s situation is becoming. The more “in the red” the student is for each category, the greater the need to consider braille.</w:t>
      </w:r>
    </w:p>
    <w:p w14:paraId="3F6146C3" w14:textId="75F9A196" w:rsidR="000240F0" w:rsidRPr="000B40FF" w:rsidRDefault="00427AF5" w:rsidP="000B40FF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Braille (?) Needs Assessment for your student, t</w:t>
      </w:r>
      <w:r w:rsidR="000240F0">
        <w:rPr>
          <w:rFonts w:ascii="Arial" w:hAnsi="Arial" w:cs="Arial"/>
          <w:sz w:val="24"/>
          <w:szCs w:val="24"/>
        </w:rPr>
        <w:t>ake some time to reflect on the outcome, consider the educational and vocational goals expressed by the student and family</w:t>
      </w:r>
      <w:r w:rsidR="00A73372">
        <w:rPr>
          <w:rFonts w:ascii="Arial" w:hAnsi="Arial" w:cs="Arial"/>
          <w:sz w:val="24"/>
          <w:szCs w:val="24"/>
        </w:rPr>
        <w:t>,</w:t>
      </w:r>
      <w:r w:rsidR="000240F0">
        <w:rPr>
          <w:rFonts w:ascii="Arial" w:hAnsi="Arial" w:cs="Arial"/>
          <w:color w:val="FF0000"/>
          <w:sz w:val="24"/>
          <w:szCs w:val="24"/>
        </w:rPr>
        <w:t xml:space="preserve"> </w:t>
      </w:r>
      <w:r w:rsidR="000240F0">
        <w:rPr>
          <w:rFonts w:ascii="Arial" w:hAnsi="Arial" w:cs="Arial"/>
          <w:sz w:val="24"/>
          <w:szCs w:val="24"/>
        </w:rPr>
        <w:t>and how braille may enhance the student’s access to their learnin</w:t>
      </w:r>
      <w:r w:rsidR="00A73372">
        <w:rPr>
          <w:rFonts w:ascii="Arial" w:hAnsi="Arial" w:cs="Arial"/>
          <w:sz w:val="24"/>
          <w:szCs w:val="24"/>
        </w:rPr>
        <w:t xml:space="preserve">g – use this </w:t>
      </w:r>
      <w:r w:rsidR="00B84219">
        <w:rPr>
          <w:rFonts w:ascii="Arial" w:hAnsi="Arial" w:cs="Arial"/>
          <w:sz w:val="24"/>
          <w:szCs w:val="24"/>
        </w:rPr>
        <w:t xml:space="preserve">information </w:t>
      </w:r>
      <w:r w:rsidR="00415678">
        <w:rPr>
          <w:rFonts w:ascii="Arial" w:hAnsi="Arial" w:cs="Arial"/>
          <w:sz w:val="24"/>
          <w:szCs w:val="24"/>
        </w:rPr>
        <w:t>in</w:t>
      </w:r>
      <w:r w:rsidR="00B84219">
        <w:rPr>
          <w:rFonts w:ascii="Arial" w:hAnsi="Arial" w:cs="Arial"/>
          <w:sz w:val="24"/>
          <w:szCs w:val="24"/>
        </w:rPr>
        <w:t xml:space="preserve"> conversations you have about your recommendations for "keeping braille on the agenda".</w:t>
      </w:r>
    </w:p>
    <w:sectPr w:rsidR="000240F0" w:rsidRPr="000B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F0"/>
    <w:rsid w:val="000050FF"/>
    <w:rsid w:val="000240F0"/>
    <w:rsid w:val="000631AE"/>
    <w:rsid w:val="000B40FF"/>
    <w:rsid w:val="000C64A1"/>
    <w:rsid w:val="00175D49"/>
    <w:rsid w:val="00361382"/>
    <w:rsid w:val="00415678"/>
    <w:rsid w:val="00427AF5"/>
    <w:rsid w:val="004A1528"/>
    <w:rsid w:val="00644181"/>
    <w:rsid w:val="00681CA0"/>
    <w:rsid w:val="006B524B"/>
    <w:rsid w:val="007020D0"/>
    <w:rsid w:val="00A73372"/>
    <w:rsid w:val="00AC5ACC"/>
    <w:rsid w:val="00B16EA5"/>
    <w:rsid w:val="00B84219"/>
    <w:rsid w:val="00BF66ED"/>
    <w:rsid w:val="00F23DE8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1436"/>
  <w15:chartTrackingRefBased/>
  <w15:docId w15:val="{513180CF-93D5-4AF0-9590-E7F97B4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93"/>
  </w:style>
  <w:style w:type="paragraph" w:styleId="Heading1">
    <w:name w:val="heading 1"/>
    <w:basedOn w:val="Normal"/>
    <w:next w:val="Normal"/>
    <w:link w:val="Heading1Char"/>
    <w:uiPriority w:val="9"/>
    <w:qFormat/>
    <w:rsid w:val="00F91A93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A93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A9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A93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A93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A93"/>
    <w:rPr>
      <w:rFonts w:ascii="Arial" w:eastAsiaTheme="majorEastAsia" w:hAnsi="Arial" w:cstheme="majorBidi"/>
      <w:b/>
      <w:sz w:val="24"/>
      <w:szCs w:val="24"/>
    </w:rPr>
  </w:style>
  <w:style w:type="paragraph" w:customStyle="1" w:styleId="xmsonormal">
    <w:name w:val="x_msonormal"/>
    <w:basedOn w:val="Normal"/>
    <w:rsid w:val="000240F0"/>
    <w:rPr>
      <w:rFonts w:ascii="Calibri" w:hAnsi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B9908-4F33-4E5E-8ED5-9C8B7D6CE06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7DF097-6F6B-445C-9AB0-A7DEFB71A99C}">
      <dgm:prSet phldrT="[Text]" custT="1"/>
      <dgm:spPr/>
      <dgm:t>
        <a:bodyPr/>
        <a:lstStyle/>
        <a:p>
          <a:r>
            <a:rPr lang="en-AU" sz="1600" b="1"/>
            <a:t>Braille (?) Needs Assessment</a:t>
          </a:r>
        </a:p>
      </dgm:t>
    </dgm:pt>
    <dgm:pt modelId="{A2FDF04A-FBD2-4F85-8570-2B0173A11D6B}" type="parTrans" cxnId="{AF35BE0D-55CB-45EF-A341-B386921C47D0}">
      <dgm:prSet/>
      <dgm:spPr/>
      <dgm:t>
        <a:bodyPr/>
        <a:lstStyle/>
        <a:p>
          <a:endParaRPr lang="en-AU"/>
        </a:p>
      </dgm:t>
    </dgm:pt>
    <dgm:pt modelId="{DF2307B0-949A-46EA-ABC1-41528F69D53D}" type="sibTrans" cxnId="{AF35BE0D-55CB-45EF-A341-B386921C47D0}">
      <dgm:prSet/>
      <dgm:spPr/>
      <dgm:t>
        <a:bodyPr/>
        <a:lstStyle/>
        <a:p>
          <a:endParaRPr lang="en-AU"/>
        </a:p>
      </dgm:t>
    </dgm:pt>
    <dgm:pt modelId="{DFB0E31B-FF3F-4B63-8BB1-6BA1D839CF1E}">
      <dgm:prSet phldrT="[Text]" custT="1"/>
      <dgm:spPr/>
      <dgm:t>
        <a:bodyPr/>
        <a:lstStyle/>
        <a:p>
          <a:pPr algn="ctr"/>
          <a:endParaRPr lang="en-AU" sz="800"/>
        </a:p>
        <a:p>
          <a:pPr algn="ctr"/>
          <a:endParaRPr lang="en-AU" sz="1500" b="1"/>
        </a:p>
        <a:p>
          <a:pPr algn="l"/>
          <a:r>
            <a:rPr lang="en-AU" sz="1500" b="1"/>
            <a:t>   The student's existing braille    related skills</a:t>
          </a:r>
        </a:p>
        <a:p>
          <a:pPr algn="ctr"/>
          <a:endParaRPr lang="en-AU" sz="800" b="1"/>
        </a:p>
        <a:p>
          <a:pPr algn="l"/>
          <a:r>
            <a:rPr lang="en-AU" sz="1100"/>
            <a:t>    Reading own handwriting</a:t>
          </a:r>
        </a:p>
        <a:p>
          <a:pPr algn="ctr"/>
          <a:r>
            <a:rPr lang="en-AU" sz="1100"/>
            <a:t>Tactually discriminating geometric shapes</a:t>
          </a:r>
        </a:p>
        <a:p>
          <a:pPr algn="l"/>
          <a:r>
            <a:rPr lang="en-AU" sz="1100"/>
            <a:t>    Current literacy media</a:t>
          </a:r>
        </a:p>
        <a:p>
          <a:pPr algn="ctr"/>
          <a:endParaRPr lang="en-AU" sz="800"/>
        </a:p>
      </dgm:t>
    </dgm:pt>
    <dgm:pt modelId="{9DFA3EE3-7DDD-4E6A-BB05-6268D64800A3}" type="parTrans" cxnId="{01E24C4E-C47A-4332-A95A-23B666959579}">
      <dgm:prSet/>
      <dgm:spPr/>
      <dgm:t>
        <a:bodyPr/>
        <a:lstStyle/>
        <a:p>
          <a:endParaRPr lang="en-AU"/>
        </a:p>
      </dgm:t>
    </dgm:pt>
    <dgm:pt modelId="{623D6F82-776E-47CD-9248-9344547566F7}" type="sibTrans" cxnId="{01E24C4E-C47A-4332-A95A-23B666959579}">
      <dgm:prSet/>
      <dgm:spPr/>
      <dgm:t>
        <a:bodyPr/>
        <a:lstStyle/>
        <a:p>
          <a:endParaRPr lang="en-AU"/>
        </a:p>
      </dgm:t>
    </dgm:pt>
    <dgm:pt modelId="{BBE7E2BD-F0F2-41EB-87D6-24E643BC461F}">
      <dgm:prSet phldrT="[Text]" custT="1"/>
      <dgm:spPr/>
      <dgm:t>
        <a:bodyPr/>
        <a:lstStyle/>
        <a:p>
          <a:pPr algn="ctr"/>
          <a:endParaRPr lang="en-AU" sz="1500" b="1"/>
        </a:p>
        <a:p>
          <a:pPr algn="l"/>
          <a:r>
            <a:rPr lang="en-AU" sz="1500" b="1"/>
            <a:t>    The student</a:t>
          </a:r>
        </a:p>
        <a:p>
          <a:pPr algn="l"/>
          <a:r>
            <a:rPr lang="en-AU" sz="1100"/>
            <a:t>     The student's current braille related skills,  literacy preferences, educational and vocational goals </a:t>
          </a:r>
        </a:p>
        <a:p>
          <a:pPr algn="l"/>
          <a:endParaRPr lang="en-AU" sz="1100"/>
        </a:p>
        <a:p>
          <a:pPr algn="l"/>
          <a:r>
            <a:rPr lang="en-AU" sz="1100"/>
            <a:t>                       </a:t>
          </a:r>
        </a:p>
      </dgm:t>
    </dgm:pt>
    <dgm:pt modelId="{4349D351-9878-41B1-B1D0-21082EF3A478}" type="parTrans" cxnId="{F2E97415-7E45-4568-A445-AE9DDB8A924D}">
      <dgm:prSet/>
      <dgm:spPr/>
      <dgm:t>
        <a:bodyPr/>
        <a:lstStyle/>
        <a:p>
          <a:endParaRPr lang="en-AU"/>
        </a:p>
      </dgm:t>
    </dgm:pt>
    <dgm:pt modelId="{7AEFEE81-F7EF-4279-A54B-9B58F6C7005B}" type="sibTrans" cxnId="{F2E97415-7E45-4568-A445-AE9DDB8A924D}">
      <dgm:prSet/>
      <dgm:spPr/>
      <dgm:t>
        <a:bodyPr/>
        <a:lstStyle/>
        <a:p>
          <a:endParaRPr lang="en-AU"/>
        </a:p>
      </dgm:t>
    </dgm:pt>
    <dgm:pt modelId="{1C7D7AD8-1A30-4B4F-9558-8F6AA9C1B710}">
      <dgm:prSet phldrT="[Text]" custT="1"/>
      <dgm:spPr/>
      <dgm:t>
        <a:bodyPr/>
        <a:lstStyle/>
        <a:p>
          <a:pPr algn="l"/>
          <a:r>
            <a:rPr lang="en-AU" sz="1500" b="1"/>
            <a:t>   The student's vision</a:t>
          </a:r>
        </a:p>
        <a:p>
          <a:pPr algn="l"/>
          <a:r>
            <a:rPr lang="en-AU" sz="1100"/>
            <a:t>   Visual acuity near and distance</a:t>
          </a:r>
        </a:p>
        <a:p>
          <a:pPr algn="l"/>
          <a:r>
            <a:rPr lang="en-AU" sz="1100"/>
            <a:t>   Sustained use of vision </a:t>
          </a:r>
        </a:p>
      </dgm:t>
    </dgm:pt>
    <dgm:pt modelId="{32CCB5EA-EAA1-4ACB-BF36-3E4CE94CF1AC}" type="parTrans" cxnId="{9F272BFC-1094-4E6B-9767-C29D55653D5D}">
      <dgm:prSet/>
      <dgm:spPr/>
      <dgm:t>
        <a:bodyPr/>
        <a:lstStyle/>
        <a:p>
          <a:endParaRPr lang="en-AU"/>
        </a:p>
      </dgm:t>
    </dgm:pt>
    <dgm:pt modelId="{BD416C03-C5E9-4679-9367-0A509222717E}" type="sibTrans" cxnId="{9F272BFC-1094-4E6B-9767-C29D55653D5D}">
      <dgm:prSet/>
      <dgm:spPr/>
      <dgm:t>
        <a:bodyPr/>
        <a:lstStyle/>
        <a:p>
          <a:endParaRPr lang="en-AU"/>
        </a:p>
      </dgm:t>
    </dgm:pt>
    <dgm:pt modelId="{AE0B84DD-354F-46F7-85E2-215D21E8B20C}">
      <dgm:prSet phldrT="[Text]" custT="1"/>
      <dgm:spPr/>
      <dgm:t>
        <a:bodyPr/>
        <a:lstStyle/>
        <a:p>
          <a:pPr algn="l"/>
          <a:r>
            <a:rPr lang="en-AU" sz="1500" b="1"/>
            <a:t>   The student's diagnosis</a:t>
          </a:r>
        </a:p>
        <a:p>
          <a:pPr algn="l"/>
          <a:r>
            <a:rPr lang="en-AU" sz="1100"/>
            <a:t>     Nature of eye condition</a:t>
          </a:r>
        </a:p>
        <a:p>
          <a:pPr algn="l"/>
          <a:r>
            <a:rPr lang="en-AU" sz="1100"/>
            <a:t>     Visual considerations</a:t>
          </a:r>
        </a:p>
        <a:p>
          <a:pPr algn="l"/>
          <a:r>
            <a:rPr lang="en-AU" sz="1100"/>
            <a:t>     Student's health</a:t>
          </a:r>
        </a:p>
      </dgm:t>
    </dgm:pt>
    <dgm:pt modelId="{636C4C7C-C864-4A59-983B-D0F867DE395F}" type="parTrans" cxnId="{428A311D-74CC-4EE1-9221-B60FACFE8A0E}">
      <dgm:prSet/>
      <dgm:spPr/>
      <dgm:t>
        <a:bodyPr/>
        <a:lstStyle/>
        <a:p>
          <a:endParaRPr lang="en-AU"/>
        </a:p>
      </dgm:t>
    </dgm:pt>
    <dgm:pt modelId="{0F0E95B2-FFBA-40EC-BAD0-C0A2D8A4DB5D}" type="sibTrans" cxnId="{428A311D-74CC-4EE1-9221-B60FACFE8A0E}">
      <dgm:prSet/>
      <dgm:spPr/>
      <dgm:t>
        <a:bodyPr/>
        <a:lstStyle/>
        <a:p>
          <a:endParaRPr lang="en-AU"/>
        </a:p>
      </dgm:t>
    </dgm:pt>
    <dgm:pt modelId="{A11AA46A-9276-4F7A-BDE0-9B1CDF1247D2}" type="pres">
      <dgm:prSet presAssocID="{35FB9908-4F33-4E5E-8ED5-9C8B7D6CE06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7223032-1E53-47CC-B15D-652532FB98EE}" type="pres">
      <dgm:prSet presAssocID="{35FB9908-4F33-4E5E-8ED5-9C8B7D6CE06D}" presName="matrix" presStyleCnt="0"/>
      <dgm:spPr/>
    </dgm:pt>
    <dgm:pt modelId="{59BB8913-C197-4C9F-94C7-CA7A0CC2853D}" type="pres">
      <dgm:prSet presAssocID="{35FB9908-4F33-4E5E-8ED5-9C8B7D6CE06D}" presName="tile1" presStyleLbl="node1" presStyleIdx="0" presStyleCnt="4"/>
      <dgm:spPr/>
    </dgm:pt>
    <dgm:pt modelId="{7B0CA748-E62B-4A58-83DF-8E28B92EDB49}" type="pres">
      <dgm:prSet presAssocID="{35FB9908-4F33-4E5E-8ED5-9C8B7D6CE06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E399FC5-2AF3-465E-B972-B059A202E336}" type="pres">
      <dgm:prSet presAssocID="{35FB9908-4F33-4E5E-8ED5-9C8B7D6CE06D}" presName="tile2" presStyleLbl="node1" presStyleIdx="1" presStyleCnt="4"/>
      <dgm:spPr/>
    </dgm:pt>
    <dgm:pt modelId="{75E3EF4C-CC99-46C6-BD06-8C377EBE893D}" type="pres">
      <dgm:prSet presAssocID="{35FB9908-4F33-4E5E-8ED5-9C8B7D6CE06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32B0490-BCF8-4E45-A686-2CF40968B63A}" type="pres">
      <dgm:prSet presAssocID="{35FB9908-4F33-4E5E-8ED5-9C8B7D6CE06D}" presName="tile3" presStyleLbl="node1" presStyleIdx="2" presStyleCnt="4"/>
      <dgm:spPr/>
    </dgm:pt>
    <dgm:pt modelId="{FDAF6DC6-524E-4D3F-B44B-A3012434267C}" type="pres">
      <dgm:prSet presAssocID="{35FB9908-4F33-4E5E-8ED5-9C8B7D6CE06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CD86543-2D80-49A2-9390-ACADFB64C203}" type="pres">
      <dgm:prSet presAssocID="{35FB9908-4F33-4E5E-8ED5-9C8B7D6CE06D}" presName="tile4" presStyleLbl="node1" presStyleIdx="3" presStyleCnt="4"/>
      <dgm:spPr/>
    </dgm:pt>
    <dgm:pt modelId="{34D6E753-7C7A-4022-9B48-90B7C999D313}" type="pres">
      <dgm:prSet presAssocID="{35FB9908-4F33-4E5E-8ED5-9C8B7D6CE06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1407AE0-59E1-49E5-9188-3E53177DE4F7}" type="pres">
      <dgm:prSet presAssocID="{35FB9908-4F33-4E5E-8ED5-9C8B7D6CE06D}" presName="centerTile" presStyleLbl="fgShp" presStyleIdx="0" presStyleCnt="1" custScaleX="87963" custScaleY="118095">
        <dgm:presLayoutVars>
          <dgm:chMax val="0"/>
          <dgm:chPref val="0"/>
        </dgm:presLayoutVars>
      </dgm:prSet>
      <dgm:spPr/>
    </dgm:pt>
  </dgm:ptLst>
  <dgm:cxnLst>
    <dgm:cxn modelId="{AF35BE0D-55CB-45EF-A341-B386921C47D0}" srcId="{35FB9908-4F33-4E5E-8ED5-9C8B7D6CE06D}" destId="{F27DF097-6F6B-445C-9AB0-A7DEFB71A99C}" srcOrd="0" destOrd="0" parTransId="{A2FDF04A-FBD2-4F85-8570-2B0173A11D6B}" sibTransId="{DF2307B0-949A-46EA-ABC1-41528F69D53D}"/>
    <dgm:cxn modelId="{E4F44E11-12FC-4616-894C-B715E8868B4C}" type="presOf" srcId="{BBE7E2BD-F0F2-41EB-87D6-24E643BC461F}" destId="{75E3EF4C-CC99-46C6-BD06-8C377EBE893D}" srcOrd="1" destOrd="0" presId="urn:microsoft.com/office/officeart/2005/8/layout/matrix1"/>
    <dgm:cxn modelId="{F2E97415-7E45-4568-A445-AE9DDB8A924D}" srcId="{F27DF097-6F6B-445C-9AB0-A7DEFB71A99C}" destId="{BBE7E2BD-F0F2-41EB-87D6-24E643BC461F}" srcOrd="1" destOrd="0" parTransId="{4349D351-9878-41B1-B1D0-21082EF3A478}" sibTransId="{7AEFEE81-F7EF-4279-A54B-9B58F6C7005B}"/>
    <dgm:cxn modelId="{428A311D-74CC-4EE1-9221-B60FACFE8A0E}" srcId="{F27DF097-6F6B-445C-9AB0-A7DEFB71A99C}" destId="{AE0B84DD-354F-46F7-85E2-215D21E8B20C}" srcOrd="3" destOrd="0" parTransId="{636C4C7C-C864-4A59-983B-D0F867DE395F}" sibTransId="{0F0E95B2-FFBA-40EC-BAD0-C0A2D8A4DB5D}"/>
    <dgm:cxn modelId="{C91B691D-B327-4AA5-AE2A-0C1E088B5C62}" type="presOf" srcId="{35FB9908-4F33-4E5E-8ED5-9C8B7D6CE06D}" destId="{A11AA46A-9276-4F7A-BDE0-9B1CDF1247D2}" srcOrd="0" destOrd="0" presId="urn:microsoft.com/office/officeart/2005/8/layout/matrix1"/>
    <dgm:cxn modelId="{376F191F-132D-4404-8A1E-13C3FF2D49ED}" type="presOf" srcId="{1C7D7AD8-1A30-4B4F-9558-8F6AA9C1B710}" destId="{D32B0490-BCF8-4E45-A686-2CF40968B63A}" srcOrd="0" destOrd="0" presId="urn:microsoft.com/office/officeart/2005/8/layout/matrix1"/>
    <dgm:cxn modelId="{16782C6D-90B0-42DE-B468-976EBE9915BE}" type="presOf" srcId="{AE0B84DD-354F-46F7-85E2-215D21E8B20C}" destId="{34D6E753-7C7A-4022-9B48-90B7C999D313}" srcOrd="1" destOrd="0" presId="urn:microsoft.com/office/officeart/2005/8/layout/matrix1"/>
    <dgm:cxn modelId="{01E24C4E-C47A-4332-A95A-23B666959579}" srcId="{F27DF097-6F6B-445C-9AB0-A7DEFB71A99C}" destId="{DFB0E31B-FF3F-4B63-8BB1-6BA1D839CF1E}" srcOrd="0" destOrd="0" parTransId="{9DFA3EE3-7DDD-4E6A-BB05-6268D64800A3}" sibTransId="{623D6F82-776E-47CD-9248-9344547566F7}"/>
    <dgm:cxn modelId="{3481D654-BABB-4771-906B-6DCE06E860D3}" type="presOf" srcId="{BBE7E2BD-F0F2-41EB-87D6-24E643BC461F}" destId="{4E399FC5-2AF3-465E-B972-B059A202E336}" srcOrd="0" destOrd="0" presId="urn:microsoft.com/office/officeart/2005/8/layout/matrix1"/>
    <dgm:cxn modelId="{18247F9F-05F2-4551-A0A9-856FC8C66923}" type="presOf" srcId="{DFB0E31B-FF3F-4B63-8BB1-6BA1D839CF1E}" destId="{7B0CA748-E62B-4A58-83DF-8E28B92EDB49}" srcOrd="1" destOrd="0" presId="urn:microsoft.com/office/officeart/2005/8/layout/matrix1"/>
    <dgm:cxn modelId="{8405ADAA-A2DE-4262-A264-6D838F427EA4}" type="presOf" srcId="{1C7D7AD8-1A30-4B4F-9558-8F6AA9C1B710}" destId="{FDAF6DC6-524E-4D3F-B44B-A3012434267C}" srcOrd="1" destOrd="0" presId="urn:microsoft.com/office/officeart/2005/8/layout/matrix1"/>
    <dgm:cxn modelId="{C2D539D7-85FB-4AED-B64B-C9D328A12E45}" type="presOf" srcId="{AE0B84DD-354F-46F7-85E2-215D21E8B20C}" destId="{1CD86543-2D80-49A2-9390-ACADFB64C203}" srcOrd="0" destOrd="0" presId="urn:microsoft.com/office/officeart/2005/8/layout/matrix1"/>
    <dgm:cxn modelId="{C03F05DE-311F-4F43-AF95-8017A1C37FCF}" type="presOf" srcId="{DFB0E31B-FF3F-4B63-8BB1-6BA1D839CF1E}" destId="{59BB8913-C197-4C9F-94C7-CA7A0CC2853D}" srcOrd="0" destOrd="0" presId="urn:microsoft.com/office/officeart/2005/8/layout/matrix1"/>
    <dgm:cxn modelId="{A5EA78DF-BBAC-42AF-A90B-2173EB3CE1C9}" type="presOf" srcId="{F27DF097-6F6B-445C-9AB0-A7DEFB71A99C}" destId="{31407AE0-59E1-49E5-9188-3E53177DE4F7}" srcOrd="0" destOrd="0" presId="urn:microsoft.com/office/officeart/2005/8/layout/matrix1"/>
    <dgm:cxn modelId="{9F272BFC-1094-4E6B-9767-C29D55653D5D}" srcId="{F27DF097-6F6B-445C-9AB0-A7DEFB71A99C}" destId="{1C7D7AD8-1A30-4B4F-9558-8F6AA9C1B710}" srcOrd="2" destOrd="0" parTransId="{32CCB5EA-EAA1-4ACB-BF36-3E4CE94CF1AC}" sibTransId="{BD416C03-C5E9-4679-9367-0A509222717E}"/>
    <dgm:cxn modelId="{CA63DB49-67F4-41BB-A805-940E7D96F8D6}" type="presParOf" srcId="{A11AA46A-9276-4F7A-BDE0-9B1CDF1247D2}" destId="{77223032-1E53-47CC-B15D-652532FB98EE}" srcOrd="0" destOrd="0" presId="urn:microsoft.com/office/officeart/2005/8/layout/matrix1"/>
    <dgm:cxn modelId="{F60B308D-2378-4352-9572-02531D6E234B}" type="presParOf" srcId="{77223032-1E53-47CC-B15D-652532FB98EE}" destId="{59BB8913-C197-4C9F-94C7-CA7A0CC2853D}" srcOrd="0" destOrd="0" presId="urn:microsoft.com/office/officeart/2005/8/layout/matrix1"/>
    <dgm:cxn modelId="{F748E3C7-E0A6-4701-BCA8-64DB8A1CE3E6}" type="presParOf" srcId="{77223032-1E53-47CC-B15D-652532FB98EE}" destId="{7B0CA748-E62B-4A58-83DF-8E28B92EDB49}" srcOrd="1" destOrd="0" presId="urn:microsoft.com/office/officeart/2005/8/layout/matrix1"/>
    <dgm:cxn modelId="{6017CD34-8290-45A9-AC17-CDDE26BDAA41}" type="presParOf" srcId="{77223032-1E53-47CC-B15D-652532FB98EE}" destId="{4E399FC5-2AF3-465E-B972-B059A202E336}" srcOrd="2" destOrd="0" presId="urn:microsoft.com/office/officeart/2005/8/layout/matrix1"/>
    <dgm:cxn modelId="{52A22007-7A1F-4CB1-A05A-14ABC27AE284}" type="presParOf" srcId="{77223032-1E53-47CC-B15D-652532FB98EE}" destId="{75E3EF4C-CC99-46C6-BD06-8C377EBE893D}" srcOrd="3" destOrd="0" presId="urn:microsoft.com/office/officeart/2005/8/layout/matrix1"/>
    <dgm:cxn modelId="{6D54242B-1725-46B0-936F-F769B390A32C}" type="presParOf" srcId="{77223032-1E53-47CC-B15D-652532FB98EE}" destId="{D32B0490-BCF8-4E45-A686-2CF40968B63A}" srcOrd="4" destOrd="0" presId="urn:microsoft.com/office/officeart/2005/8/layout/matrix1"/>
    <dgm:cxn modelId="{7B85620A-49D5-4B4F-A894-258D0FE8DEEE}" type="presParOf" srcId="{77223032-1E53-47CC-B15D-652532FB98EE}" destId="{FDAF6DC6-524E-4D3F-B44B-A3012434267C}" srcOrd="5" destOrd="0" presId="urn:microsoft.com/office/officeart/2005/8/layout/matrix1"/>
    <dgm:cxn modelId="{ECC912BA-49B8-431E-BEA7-D768D971B4E7}" type="presParOf" srcId="{77223032-1E53-47CC-B15D-652532FB98EE}" destId="{1CD86543-2D80-49A2-9390-ACADFB64C203}" srcOrd="6" destOrd="0" presId="urn:microsoft.com/office/officeart/2005/8/layout/matrix1"/>
    <dgm:cxn modelId="{A3430633-F254-410B-83A2-B1FAEF72C988}" type="presParOf" srcId="{77223032-1E53-47CC-B15D-652532FB98EE}" destId="{34D6E753-7C7A-4022-9B48-90B7C999D313}" srcOrd="7" destOrd="0" presId="urn:microsoft.com/office/officeart/2005/8/layout/matrix1"/>
    <dgm:cxn modelId="{271BFAA6-95EF-4322-B0F7-543BB9129977}" type="presParOf" srcId="{A11AA46A-9276-4F7A-BDE0-9B1CDF1247D2}" destId="{31407AE0-59E1-49E5-9188-3E53177DE4F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B8913-C197-4C9F-94C7-CA7A0CC2853D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500" b="1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b="1" kern="1200"/>
            <a:t>   The student's existing braille    related skills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1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Reading own handwriting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Tactually discriminating geometric shapes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Current literacy media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kern="1200"/>
        </a:p>
      </dsp:txBody>
      <dsp:txXfrm rot="5400000">
        <a:off x="-1" y="1"/>
        <a:ext cx="2743200" cy="1200150"/>
      </dsp:txXfrm>
    </dsp:sp>
    <dsp:sp modelId="{4E399FC5-2AF3-465E-B972-B059A202E336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500" b="1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b="1" kern="1200"/>
            <a:t>    The student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 The student's current braille related skills,  literacy preferences, educational and vocational goals 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                   </a:t>
          </a:r>
        </a:p>
      </dsp:txBody>
      <dsp:txXfrm>
        <a:off x="2743200" y="0"/>
        <a:ext cx="2743200" cy="1200150"/>
      </dsp:txXfrm>
    </dsp:sp>
    <dsp:sp modelId="{D32B0490-BCF8-4E45-A686-2CF40968B63A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b="1" kern="1200"/>
            <a:t>   The student's vision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Visual acuity near and distance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Sustained use of vision </a:t>
          </a:r>
        </a:p>
      </dsp:txBody>
      <dsp:txXfrm rot="10800000">
        <a:off x="0" y="2000250"/>
        <a:ext cx="2743200" cy="1200150"/>
      </dsp:txXfrm>
    </dsp:sp>
    <dsp:sp modelId="{1CD86543-2D80-49A2-9390-ACADFB64C203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b="1" kern="1200"/>
            <a:t>   The student's diagnosis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 Nature of eye condition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 Visual considerations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     Student's health</a:t>
          </a:r>
        </a:p>
      </dsp:txBody>
      <dsp:txXfrm rot="-5400000">
        <a:off x="2743200" y="2000250"/>
        <a:ext cx="2743200" cy="1200150"/>
      </dsp:txXfrm>
    </dsp:sp>
    <dsp:sp modelId="{31407AE0-59E1-49E5-9188-3E53177DE4F7}">
      <dsp:nvSpPr>
        <dsp:cNvPr id="0" name=""/>
        <dsp:cNvSpPr/>
      </dsp:nvSpPr>
      <dsp:spPr>
        <a:xfrm>
          <a:off x="2019299" y="1127760"/>
          <a:ext cx="1447800" cy="94487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b="1" kern="1200"/>
            <a:t>Braille (?) Needs Assessment</a:t>
          </a:r>
        </a:p>
      </dsp:txBody>
      <dsp:txXfrm>
        <a:off x="2065424" y="1173885"/>
        <a:ext cx="1355550" cy="852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Silveira</dc:creator>
  <cp:keywords/>
  <dc:description/>
  <cp:lastModifiedBy>Phia Damsma</cp:lastModifiedBy>
  <cp:revision>2</cp:revision>
  <dcterms:created xsi:type="dcterms:W3CDTF">2022-05-03T01:27:00Z</dcterms:created>
  <dcterms:modified xsi:type="dcterms:W3CDTF">2022-05-03T01:27:00Z</dcterms:modified>
</cp:coreProperties>
</file>